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F058FB"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25pt;height:138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w:t>
      </w:r>
      <w:r w:rsidR="0063676C">
        <w:rPr>
          <w:rFonts w:ascii="Arial" w:hAnsi="Arial" w:cs="Arial"/>
          <w:b/>
          <w:sz w:val="36"/>
          <w:szCs w:val="36"/>
        </w:rPr>
        <w:t>8</w:t>
      </w:r>
      <w:r w:rsidRPr="009B7237">
        <w:rPr>
          <w:rFonts w:ascii="Arial" w:hAnsi="Arial" w:cs="Arial"/>
          <w:b/>
          <w:sz w:val="36"/>
          <w:szCs w:val="36"/>
        </w:rPr>
        <w:t>-201</w:t>
      </w:r>
      <w:r w:rsidR="0063676C">
        <w:rPr>
          <w:rFonts w:ascii="Arial" w:hAnsi="Arial" w:cs="Arial"/>
          <w:b/>
          <w:sz w:val="36"/>
          <w:szCs w:val="36"/>
        </w:rPr>
        <w:t>9</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1A1522" w:rsidP="00A134CC">
      <w:pPr>
        <w:rPr>
          <w:rFonts w:ascii="Arial" w:hAnsi="Arial" w:cs="Arial"/>
          <w:sz w:val="24"/>
          <w:szCs w:val="24"/>
        </w:rPr>
      </w:pPr>
      <w:r>
        <w:rPr>
          <w:rFonts w:ascii="Arial" w:hAnsi="Arial" w:cs="Arial"/>
          <w:sz w:val="24"/>
          <w:szCs w:val="24"/>
        </w:rPr>
        <w:t>Final</w:t>
      </w:r>
      <w:r w:rsidR="00A134CC">
        <w:rPr>
          <w:rFonts w:ascii="Arial" w:hAnsi="Arial" w:cs="Arial"/>
          <w:sz w:val="24"/>
          <w:szCs w:val="24"/>
        </w:rPr>
        <w:t xml:space="preserve"> Version 201</w:t>
      </w:r>
      <w:r w:rsidR="0063676C">
        <w:rPr>
          <w:rFonts w:ascii="Arial" w:hAnsi="Arial" w:cs="Arial"/>
          <w:sz w:val="24"/>
          <w:szCs w:val="24"/>
        </w:rPr>
        <w:t>9</w:t>
      </w:r>
      <w:r w:rsidR="00A134CC">
        <w:rPr>
          <w:rFonts w:ascii="Arial" w:hAnsi="Arial" w:cs="Arial"/>
          <w:sz w:val="24"/>
          <w:szCs w:val="24"/>
        </w:rPr>
        <w:t>.</w:t>
      </w:r>
      <w:r>
        <w:rPr>
          <w:rFonts w:ascii="Arial" w:hAnsi="Arial" w:cs="Arial"/>
          <w:sz w:val="24"/>
          <w:szCs w:val="24"/>
        </w:rPr>
        <w:t>1</w:t>
      </w:r>
      <w:r w:rsidR="00A134CC" w:rsidRPr="009B7237">
        <w:rPr>
          <w:rFonts w:ascii="Arial" w:hAnsi="Arial" w:cs="Arial"/>
          <w:sz w:val="24"/>
          <w:szCs w:val="24"/>
        </w:rPr>
        <w:t>.0</w:t>
      </w:r>
    </w:p>
    <w:p w:rsidR="00A134CC" w:rsidRPr="009B7237" w:rsidRDefault="001A1522" w:rsidP="00A134CC">
      <w:pPr>
        <w:rPr>
          <w:rFonts w:ascii="Arial" w:hAnsi="Arial" w:cs="Arial"/>
          <w:sz w:val="24"/>
          <w:szCs w:val="24"/>
        </w:rPr>
      </w:pPr>
      <w:r>
        <w:rPr>
          <w:rFonts w:ascii="Arial" w:hAnsi="Arial" w:cs="Arial"/>
          <w:sz w:val="24"/>
          <w:szCs w:val="24"/>
        </w:rPr>
        <w:t>March</w:t>
      </w:r>
      <w:r w:rsidR="00A134CC">
        <w:rPr>
          <w:rFonts w:ascii="Arial" w:hAnsi="Arial" w:cs="Arial"/>
          <w:sz w:val="24"/>
          <w:szCs w:val="24"/>
        </w:rPr>
        <w:t xml:space="preserve"> 1, 201</w:t>
      </w:r>
      <w:r>
        <w:rPr>
          <w:rFonts w:ascii="Arial" w:hAnsi="Arial" w:cs="Arial"/>
          <w:sz w:val="24"/>
          <w:szCs w:val="24"/>
        </w:rPr>
        <w:t>8</w:t>
      </w:r>
    </w:p>
    <w:p w:rsidR="00A134CC" w:rsidRDefault="00A134CC">
      <w:bookmarkStart w:id="0" w:name="_GoBack"/>
      <w:bookmarkEnd w:id="0"/>
    </w:p>
    <w:p w:rsidR="00A134CC" w:rsidRDefault="00A134CC"/>
    <w:p w:rsidR="00A134CC" w:rsidRDefault="00A134CC"/>
    <w:p w:rsidR="00A134CC" w:rsidRDefault="00A134CC"/>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lastRenderedPageBreak/>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1A1522" w:rsidP="006D58BF">
            <w:pPr>
              <w:spacing w:after="0" w:line="240" w:lineRule="auto"/>
              <w:jc w:val="center"/>
              <w:rPr>
                <w:rFonts w:cs="Calibri"/>
                <w:color w:val="000000"/>
                <w:sz w:val="20"/>
                <w:szCs w:val="20"/>
              </w:rPr>
            </w:pPr>
            <w:r>
              <w:rPr>
                <w:rFonts w:cs="Calibri"/>
                <w:color w:val="000000"/>
                <w:sz w:val="20"/>
                <w:szCs w:val="20"/>
              </w:rPr>
              <w:t>3</w:t>
            </w:r>
            <w:r w:rsidR="00480ACC" w:rsidRPr="005A7EFB">
              <w:rPr>
                <w:rFonts w:cs="Calibri"/>
                <w:color w:val="000000"/>
                <w:sz w:val="20"/>
                <w:szCs w:val="20"/>
              </w:rPr>
              <w:t>/1/201</w:t>
            </w:r>
            <w:r>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w:t>
            </w:r>
            <w:r w:rsidRPr="005A7EFB">
              <w:rPr>
                <w:rFonts w:cs="Calibri"/>
                <w:color w:val="000000"/>
                <w:sz w:val="20"/>
                <w:szCs w:val="20"/>
              </w:rPr>
              <w:lastRenderedPageBreak/>
              <w:t>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3 - American Sign </w:t>
            </w:r>
            <w:r w:rsidRPr="005A7EFB">
              <w:rPr>
                <w:rFonts w:cs="Calibri"/>
                <w:color w:val="000000"/>
                <w:sz w:val="20"/>
                <w:szCs w:val="20"/>
              </w:rPr>
              <w:lastRenderedPageBreak/>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A Second Language, Departmentalized Grade </w:t>
            </w:r>
            <w:r w:rsidRPr="005A7EFB">
              <w:rPr>
                <w:rFonts w:cs="Calibri"/>
                <w:color w:val="000000"/>
                <w:sz w:val="20"/>
                <w:szCs w:val="20"/>
              </w:rPr>
              <w:lastRenderedPageBreak/>
              <w:t>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Grades 6-8 – American </w:t>
            </w:r>
            <w:r w:rsidRPr="005A7EFB">
              <w:rPr>
                <w:rFonts w:cs="Calibri"/>
                <w:color w:val="000000"/>
                <w:sz w:val="20"/>
                <w:szCs w:val="20"/>
              </w:rPr>
              <w:lastRenderedPageBreak/>
              <w:t>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w:t>
            </w:r>
            <w:r w:rsidRPr="00235A1B">
              <w:rPr>
                <w:rFonts w:cs="Calibri"/>
                <w:b/>
                <w:color w:val="000000"/>
                <w:sz w:val="20"/>
                <w:szCs w:val="20"/>
              </w:rPr>
              <w:lastRenderedPageBreak/>
              <w:t xml:space="preserve">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w:t>
            </w:r>
            <w:r w:rsidRPr="00D8183C">
              <w:rPr>
                <w:b/>
              </w:rPr>
              <w:lastRenderedPageBreak/>
              <w:t xml:space="preserve">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w:t>
            </w:r>
            <w:r w:rsidRPr="005A7EFB">
              <w:rPr>
                <w:rFonts w:cs="Calibri"/>
                <w:color w:val="000000"/>
                <w:sz w:val="20"/>
                <w:szCs w:val="20"/>
              </w:rPr>
              <w:lastRenderedPageBreak/>
              <w:t>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w:t>
            </w:r>
            <w:r w:rsidRPr="00235A1B">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Graphic Design and Illustration/Extended </w:t>
            </w:r>
            <w:r w:rsidRPr="005A7EFB">
              <w:rPr>
                <w:rFonts w:cs="Calibri"/>
                <w:color w:val="000000"/>
                <w:sz w:val="20"/>
                <w:szCs w:val="20"/>
              </w:rPr>
              <w:lastRenderedPageBreak/>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w:t>
            </w:r>
            <w:r w:rsidRPr="00235A1B">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Business Management/Extended Practicum in Business Management (Second Time </w:t>
            </w:r>
            <w:r w:rsidRPr="005A7EFB">
              <w:rPr>
                <w:rFonts w:cs="Calibri"/>
                <w:color w:val="000000"/>
                <w:sz w:val="20"/>
                <w:szCs w:val="20"/>
              </w:rPr>
              <w:lastRenderedPageBreak/>
              <w:t>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235A1B">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Law, Public Safety, Corrections, and </w:t>
            </w:r>
            <w:r w:rsidRPr="005A7EFB">
              <w:rPr>
                <w:rFonts w:cs="Calibri"/>
                <w:color w:val="000000"/>
                <w:sz w:val="20"/>
                <w:szCs w:val="20"/>
              </w:rPr>
              <w:lastRenderedPageBreak/>
              <w:t>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w:t>
            </w:r>
            <w:r w:rsidRPr="00F22851">
              <w:rPr>
                <w:rFonts w:cs="Calibri"/>
                <w:b/>
                <w:color w:val="000000"/>
                <w:sz w:val="20"/>
                <w:szCs w:val="20"/>
              </w:rPr>
              <w:lastRenderedPageBreak/>
              <w:t>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Theory Of Knowledge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lastRenderedPageBreak/>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lastRenderedPageBreak/>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 xml:space="preserve">International Baccalaureate (IB) Film SL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 xml:space="preserve">International Baccalaureate (IB) Film HL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7F0D3D">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AA473C" w:rsidRPr="00F639D2" w:rsidRDefault="00AA473C" w:rsidP="00AA473C">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F639D2">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7"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N1130026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N1290101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7F0D3D">
        <w:trPr>
          <w:trHeight w:val="1170"/>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tcPr>
          <w:p w:rsidR="00AA473C" w:rsidRPr="00E876BB" w:rsidRDefault="00AA473C" w:rsidP="00AA473C">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SE000006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trHeight w:val="692"/>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trHeight w:val="845"/>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Guidance and Counseling Services Those activities </w:t>
            </w:r>
            <w:r w:rsidRPr="005A7EFB">
              <w:rPr>
                <w:rFonts w:cs="Calibri"/>
                <w:color w:val="000000"/>
                <w:sz w:val="20"/>
                <w:szCs w:val="20"/>
              </w:rPr>
              <w:lastRenderedPageBreak/>
              <w:t>which have as their purpose assessing and testing pupils' abilities, aptitudes, and interests, counseling pupils with respect to career and educational opportunities, and helping pupils establish realistic goals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CD0F1E">
        <w:trPr>
          <w:trHeight w:val="1188"/>
          <w:jc w:val="center"/>
        </w:trPr>
        <w:tc>
          <w:tcPr>
            <w:tcW w:w="1285" w:type="dxa"/>
            <w:vAlign w:val="bottom"/>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SS016000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23601F">
        <w:trPr>
          <w:jc w:val="center"/>
        </w:trPr>
        <w:tc>
          <w:tcPr>
            <w:tcW w:w="1285" w:type="dxa"/>
            <w:tcBorders>
              <w:bottom w:val="nil"/>
            </w:tcBorders>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23601F">
        <w:trPr>
          <w:jc w:val="center"/>
        </w:trPr>
        <w:tc>
          <w:tcPr>
            <w:tcW w:w="1285" w:type="dxa"/>
            <w:tcBorders>
              <w:top w:val="nil"/>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9"/>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16" w:rsidRDefault="00704616" w:rsidP="005A7EFB">
      <w:pPr>
        <w:spacing w:after="0" w:line="240" w:lineRule="auto"/>
      </w:pPr>
      <w:r>
        <w:separator/>
      </w:r>
    </w:p>
  </w:endnote>
  <w:endnote w:type="continuationSeparator" w:id="0">
    <w:p w:rsidR="00704616" w:rsidRDefault="0070461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16" w:rsidRDefault="00704616" w:rsidP="005A7EFB">
      <w:pPr>
        <w:spacing w:after="0" w:line="240" w:lineRule="auto"/>
      </w:pPr>
      <w:r>
        <w:separator/>
      </w:r>
    </w:p>
  </w:footnote>
  <w:footnote w:type="continuationSeparator" w:id="0">
    <w:p w:rsidR="00704616" w:rsidRDefault="0070461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6" w:rsidRDefault="00704616" w:rsidP="005A7EFB">
    <w:pPr>
      <w:pStyle w:val="Header"/>
      <w:spacing w:after="0" w:line="240" w:lineRule="auto"/>
      <w:jc w:val="right"/>
    </w:pPr>
    <w:r>
      <w:t>2018-2019 Texas Education Data Standards</w:t>
    </w:r>
  </w:p>
  <w:p w:rsidR="00704616" w:rsidRDefault="00704616" w:rsidP="005A7EFB">
    <w:pPr>
      <w:pStyle w:val="Header"/>
      <w:spacing w:after="0" w:line="240" w:lineRule="auto"/>
      <w:jc w:val="right"/>
    </w:pPr>
    <w:r>
      <w:t xml:space="preserve">Section 4 – </w:t>
    </w:r>
    <w:r w:rsidRPr="001A1522">
      <w:t>CO22 Excerpt</w:t>
    </w:r>
  </w:p>
  <w:p w:rsidR="00704616" w:rsidRDefault="00704616" w:rsidP="005A7EFB">
    <w:pPr>
      <w:pStyle w:val="Header"/>
      <w:spacing w:after="0" w:line="240" w:lineRule="auto"/>
      <w:jc w:val="right"/>
    </w:pPr>
    <w:r>
      <w:t>Final Version 2019.1.0</w:t>
    </w:r>
  </w:p>
  <w:p w:rsidR="00704616" w:rsidRDefault="0070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62716"/>
    <w:rsid w:val="00070A2E"/>
    <w:rsid w:val="000842A9"/>
    <w:rsid w:val="00087C34"/>
    <w:rsid w:val="000D176B"/>
    <w:rsid w:val="00146727"/>
    <w:rsid w:val="001A1522"/>
    <w:rsid w:val="001A5FC7"/>
    <w:rsid w:val="001C2F88"/>
    <w:rsid w:val="001D2284"/>
    <w:rsid w:val="00232B63"/>
    <w:rsid w:val="00235A1B"/>
    <w:rsid w:val="0023601F"/>
    <w:rsid w:val="0029563E"/>
    <w:rsid w:val="0030619A"/>
    <w:rsid w:val="00314C5B"/>
    <w:rsid w:val="00323136"/>
    <w:rsid w:val="003279B5"/>
    <w:rsid w:val="00337DCE"/>
    <w:rsid w:val="0034405E"/>
    <w:rsid w:val="00384B6A"/>
    <w:rsid w:val="00395066"/>
    <w:rsid w:val="003A2FD4"/>
    <w:rsid w:val="00480ACC"/>
    <w:rsid w:val="004A1D40"/>
    <w:rsid w:val="004A3791"/>
    <w:rsid w:val="00565D7E"/>
    <w:rsid w:val="00576763"/>
    <w:rsid w:val="005A6519"/>
    <w:rsid w:val="005A7EFB"/>
    <w:rsid w:val="005C6FAB"/>
    <w:rsid w:val="005C7982"/>
    <w:rsid w:val="0063676C"/>
    <w:rsid w:val="00676DA0"/>
    <w:rsid w:val="00685B53"/>
    <w:rsid w:val="006B7DDD"/>
    <w:rsid w:val="006D58BF"/>
    <w:rsid w:val="00704616"/>
    <w:rsid w:val="00713758"/>
    <w:rsid w:val="0072516A"/>
    <w:rsid w:val="00754185"/>
    <w:rsid w:val="00766166"/>
    <w:rsid w:val="007813F0"/>
    <w:rsid w:val="007F0D3D"/>
    <w:rsid w:val="008066E8"/>
    <w:rsid w:val="008366CE"/>
    <w:rsid w:val="008504DA"/>
    <w:rsid w:val="00887910"/>
    <w:rsid w:val="008A1DF7"/>
    <w:rsid w:val="008C1D32"/>
    <w:rsid w:val="00916116"/>
    <w:rsid w:val="00946AF4"/>
    <w:rsid w:val="0095232E"/>
    <w:rsid w:val="009B3E4D"/>
    <w:rsid w:val="009B7237"/>
    <w:rsid w:val="009E2E52"/>
    <w:rsid w:val="009E5F31"/>
    <w:rsid w:val="00A134CC"/>
    <w:rsid w:val="00A4179C"/>
    <w:rsid w:val="00A85A42"/>
    <w:rsid w:val="00AA473C"/>
    <w:rsid w:val="00AE1DEC"/>
    <w:rsid w:val="00AF0B87"/>
    <w:rsid w:val="00B6197E"/>
    <w:rsid w:val="00B72B0B"/>
    <w:rsid w:val="00BA630E"/>
    <w:rsid w:val="00BB03FD"/>
    <w:rsid w:val="00BD185E"/>
    <w:rsid w:val="00BE544C"/>
    <w:rsid w:val="00C215E0"/>
    <w:rsid w:val="00C31BA6"/>
    <w:rsid w:val="00C704FE"/>
    <w:rsid w:val="00CA3416"/>
    <w:rsid w:val="00CB6B65"/>
    <w:rsid w:val="00CD0F1E"/>
    <w:rsid w:val="00D21754"/>
    <w:rsid w:val="00D23F30"/>
    <w:rsid w:val="00D3283B"/>
    <w:rsid w:val="00D8183C"/>
    <w:rsid w:val="00D847EE"/>
    <w:rsid w:val="00DF26FE"/>
    <w:rsid w:val="00E86AAE"/>
    <w:rsid w:val="00E876BB"/>
    <w:rsid w:val="00E9614F"/>
    <w:rsid w:val="00EB05A0"/>
    <w:rsid w:val="00F05857"/>
    <w:rsid w:val="00F058FB"/>
    <w:rsid w:val="00F22851"/>
    <w:rsid w:val="00F40BD8"/>
    <w:rsid w:val="00F639D2"/>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540EFC"/>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77</Pages>
  <Words>18270</Words>
  <Characters>104145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Lemons, Melissa</cp:lastModifiedBy>
  <cp:revision>28</cp:revision>
  <dcterms:created xsi:type="dcterms:W3CDTF">2017-06-29T12:11:00Z</dcterms:created>
  <dcterms:modified xsi:type="dcterms:W3CDTF">2018-02-28T14:53:00Z</dcterms:modified>
</cp:coreProperties>
</file>